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09F17" w14:textId="2DFD5D42" w:rsidR="00DD3BC4" w:rsidRPr="00320B79" w:rsidRDefault="009A0683" w:rsidP="00320B79">
      <w:pPr>
        <w:spacing w:line="500" w:lineRule="exact"/>
        <w:jc w:val="left"/>
        <w:rPr>
          <w:rFonts w:ascii="ＭＳ ゴシック" w:eastAsia="ＭＳ ゴシック" w:hAnsi="ＭＳ ゴシック" w:cs="ＭＳ 明朝" w:hint="default"/>
          <w:b/>
          <w:bCs/>
          <w:color w:val="auto"/>
          <w:kern w:val="0"/>
          <w:sz w:val="32"/>
          <w:szCs w:val="32"/>
          <w:bdr w:val="none" w:sz="0" w:space="0" w:color="auto"/>
        </w:rPr>
      </w:pPr>
      <w:bookmarkStart w:id="0" w:name="_Hlk84257892"/>
      <w:bookmarkStart w:id="1" w:name="_Hlk56951521"/>
      <w:r w:rsidRPr="00B118ED">
        <w:rPr>
          <w:rFonts w:ascii="ＭＳ ゴシック" w:eastAsia="ＭＳ ゴシック" w:hAnsi="ＭＳ ゴシック" w:cs="ＭＳ 明朝"/>
          <w:b/>
          <w:bCs/>
          <w:color w:val="auto"/>
          <w:kern w:val="0"/>
          <w:sz w:val="32"/>
          <w:szCs w:val="32"/>
          <w:bdr w:val="none" w:sz="0" w:space="0" w:color="auto"/>
        </w:rPr>
        <w:t>パブリックコメント</w:t>
      </w:r>
      <w:bookmarkEnd w:id="0"/>
      <w:r w:rsidR="00320B79">
        <w:rPr>
          <w:rFonts w:ascii="ＭＳ ゴシック" w:eastAsia="ＭＳ ゴシック" w:hAnsi="ＭＳ ゴシック" w:cs="ＭＳ 明朝"/>
          <w:b/>
          <w:bCs/>
          <w:color w:val="auto"/>
          <w:kern w:val="0"/>
          <w:sz w:val="32"/>
          <w:szCs w:val="32"/>
          <w:bdr w:val="none" w:sz="0" w:space="0" w:color="auto"/>
        </w:rPr>
        <w:t>意見例</w:t>
      </w:r>
    </w:p>
    <w:bookmarkEnd w:id="1"/>
    <w:p w14:paraId="002E5858" w14:textId="05F61C0F" w:rsidR="00DD3BC4" w:rsidRDefault="00DD3BC4" w:rsidP="00320B79">
      <w:pPr>
        <w:spacing w:line="340" w:lineRule="exact"/>
        <w:ind w:left="420" w:hangingChars="200" w:hanging="420"/>
        <w:rPr>
          <w:rFonts w:ascii="Century" w:eastAsia="ＭＳ 明朝" w:hAnsi="Century"/>
          <w:lang w:val="ja-JP"/>
        </w:rPr>
      </w:pPr>
    </w:p>
    <w:p w14:paraId="0D05D876" w14:textId="4D9F145C" w:rsidR="00844BB8" w:rsidRDefault="00844BB8" w:rsidP="00243FBE">
      <w:pPr>
        <w:pStyle w:val="ad"/>
        <w:numPr>
          <w:ilvl w:val="0"/>
          <w:numId w:val="2"/>
        </w:numPr>
        <w:spacing w:line="340" w:lineRule="exact"/>
        <w:ind w:leftChars="0"/>
        <w:rPr>
          <w:rFonts w:ascii="Century" w:eastAsia="ＭＳ 明朝" w:hAnsi="Century" w:hint="default"/>
          <w:lang w:val="ja-JP"/>
        </w:rPr>
      </w:pPr>
      <w:r w:rsidRPr="00844BB8">
        <w:rPr>
          <w:rFonts w:ascii="Century" w:eastAsia="ＭＳ 明朝" w:hAnsi="Century" w:hint="default"/>
          <w:lang w:val="ja-JP"/>
        </w:rPr>
        <w:t>統廃合ではなく、少人数学級の実現により定員割れや生徒数減少に対応するべきです。そのためには教育予算を増やすとともに、教職員定数を改善することが必要です。少人数教育は、困っている生徒</w:t>
      </w:r>
      <w:r w:rsidR="00113EDE">
        <w:rPr>
          <w:rFonts w:ascii="Century" w:eastAsia="ＭＳ 明朝" w:hAnsi="Century"/>
          <w:lang w:val="ja-JP"/>
        </w:rPr>
        <w:t>など</w:t>
      </w:r>
      <w:r w:rsidRPr="00844BB8">
        <w:rPr>
          <w:rFonts w:ascii="Century" w:eastAsia="ＭＳ 明朝" w:hAnsi="Century" w:hint="default"/>
          <w:lang w:val="ja-JP"/>
        </w:rPr>
        <w:t>の早期発見にもつながります。</w:t>
      </w:r>
    </w:p>
    <w:p w14:paraId="6ADCEE01" w14:textId="77777777" w:rsidR="00320B79" w:rsidRDefault="00320B79" w:rsidP="00320B79">
      <w:pPr>
        <w:pStyle w:val="ad"/>
        <w:spacing w:line="340" w:lineRule="exact"/>
        <w:ind w:leftChars="0" w:left="750"/>
        <w:rPr>
          <w:rFonts w:ascii="Century" w:eastAsia="ＭＳ 明朝" w:hAnsi="Century"/>
          <w:lang w:val="ja-JP"/>
        </w:rPr>
      </w:pPr>
    </w:p>
    <w:p w14:paraId="69A1F2C0" w14:textId="38A37B60" w:rsidR="00844BB8" w:rsidRDefault="00844BB8" w:rsidP="00243FBE">
      <w:pPr>
        <w:pStyle w:val="ad"/>
        <w:numPr>
          <w:ilvl w:val="0"/>
          <w:numId w:val="2"/>
        </w:numPr>
        <w:spacing w:line="340" w:lineRule="exact"/>
        <w:ind w:leftChars="0"/>
        <w:rPr>
          <w:rFonts w:ascii="Century" w:eastAsia="ＭＳ 明朝" w:hAnsi="Century" w:hint="default"/>
          <w:lang w:val="ja-JP"/>
        </w:rPr>
      </w:pPr>
      <w:r w:rsidRPr="00844BB8">
        <w:rPr>
          <w:rFonts w:ascii="Century" w:eastAsia="ＭＳ 明朝" w:hAnsi="Century" w:hint="cs"/>
          <w:lang w:val="ja-JP"/>
        </w:rPr>
        <w:t>統廃合ではなく、少人数学級の実現により教育環境の改善を図ることで魅力化をすすめるべきです。そのために、全国的にも低い愛知県の教育予算を大幅に増額してください。</w:t>
      </w:r>
    </w:p>
    <w:p w14:paraId="72C0D1A3" w14:textId="77777777" w:rsidR="00320B79" w:rsidRDefault="00320B79" w:rsidP="00320B79">
      <w:pPr>
        <w:pStyle w:val="ad"/>
        <w:spacing w:line="340" w:lineRule="exact"/>
        <w:ind w:leftChars="0" w:left="750"/>
        <w:rPr>
          <w:rFonts w:ascii="Century" w:eastAsia="ＭＳ 明朝" w:hAnsi="Century"/>
          <w:lang w:val="ja-JP"/>
        </w:rPr>
      </w:pPr>
    </w:p>
    <w:p w14:paraId="71A00E75" w14:textId="6A374A28" w:rsidR="00844BB8" w:rsidRDefault="00844BB8" w:rsidP="00243FBE">
      <w:pPr>
        <w:pStyle w:val="ad"/>
        <w:numPr>
          <w:ilvl w:val="0"/>
          <w:numId w:val="2"/>
        </w:numPr>
        <w:spacing w:line="340" w:lineRule="exact"/>
        <w:ind w:leftChars="0"/>
        <w:rPr>
          <w:rFonts w:ascii="Century" w:eastAsia="ＭＳ 明朝" w:hAnsi="Century" w:hint="default"/>
          <w:lang w:val="ja-JP"/>
        </w:rPr>
      </w:pPr>
      <w:r w:rsidRPr="00844BB8">
        <w:rPr>
          <w:rFonts w:ascii="Century" w:eastAsia="ＭＳ 明朝" w:hAnsi="Century" w:hint="cs"/>
          <w:lang w:val="ja-JP"/>
        </w:rPr>
        <w:t>校舎の建替えや施設・設備の整備をおこない、教育環境の改善をすすめ、中学生が学びたいと思う学校づくりをするべきです。そのためには、教育予算の大幅な増額が必要です。安易に学校数を減らすべきではありません。</w:t>
      </w:r>
    </w:p>
    <w:p w14:paraId="6624C8C1" w14:textId="77777777" w:rsidR="00320B79" w:rsidRDefault="00320B79" w:rsidP="00320B79">
      <w:pPr>
        <w:pStyle w:val="ad"/>
        <w:spacing w:line="340" w:lineRule="exact"/>
        <w:ind w:leftChars="0" w:left="750"/>
        <w:rPr>
          <w:rFonts w:ascii="Century" w:eastAsia="ＭＳ 明朝" w:hAnsi="Century"/>
          <w:lang w:val="ja-JP"/>
        </w:rPr>
      </w:pPr>
    </w:p>
    <w:p w14:paraId="273AFD89" w14:textId="2C36875B" w:rsidR="00844BB8" w:rsidRDefault="00844BB8" w:rsidP="00243FBE">
      <w:pPr>
        <w:pStyle w:val="ad"/>
        <w:numPr>
          <w:ilvl w:val="0"/>
          <w:numId w:val="2"/>
        </w:numPr>
        <w:spacing w:line="340" w:lineRule="exact"/>
        <w:ind w:leftChars="0"/>
        <w:rPr>
          <w:rFonts w:ascii="Century" w:eastAsia="ＭＳ 明朝" w:hAnsi="Century" w:hint="default"/>
          <w:lang w:val="ja-JP"/>
        </w:rPr>
      </w:pPr>
      <w:r w:rsidRPr="00844BB8">
        <w:rPr>
          <w:rFonts w:ascii="Century" w:eastAsia="ＭＳ 明朝" w:hAnsi="Century" w:hint="cs"/>
          <w:lang w:val="ja-JP"/>
        </w:rPr>
        <w:t>「魅力化・特色化」の押し付けではなく、内からの魅力化・特色化をするべきです。そのためには教育予算を十分確保して、生徒の様々な希望をかなえるために教職員を増やし魅力化をすすめることが必要です。</w:t>
      </w:r>
    </w:p>
    <w:p w14:paraId="42F36F79" w14:textId="77777777" w:rsidR="00320B79" w:rsidRDefault="00320B79" w:rsidP="00320B79">
      <w:pPr>
        <w:pStyle w:val="ad"/>
        <w:spacing w:line="340" w:lineRule="exact"/>
        <w:ind w:leftChars="0" w:left="750"/>
        <w:rPr>
          <w:rFonts w:ascii="Century" w:eastAsia="ＭＳ 明朝" w:hAnsi="Century"/>
          <w:lang w:val="ja-JP"/>
        </w:rPr>
      </w:pPr>
    </w:p>
    <w:p w14:paraId="0C681780" w14:textId="10083E64" w:rsidR="00844BB8" w:rsidRDefault="00844BB8" w:rsidP="00243FBE">
      <w:pPr>
        <w:pStyle w:val="ad"/>
        <w:numPr>
          <w:ilvl w:val="0"/>
          <w:numId w:val="2"/>
        </w:numPr>
        <w:spacing w:line="340" w:lineRule="exact"/>
        <w:ind w:leftChars="0"/>
        <w:rPr>
          <w:rFonts w:ascii="Century" w:eastAsia="ＭＳ 明朝" w:hAnsi="Century" w:hint="default"/>
          <w:lang w:val="ja-JP"/>
        </w:rPr>
      </w:pPr>
      <w:r w:rsidRPr="00844BB8">
        <w:rPr>
          <w:rFonts w:ascii="Century" w:eastAsia="ＭＳ 明朝" w:hAnsi="Century" w:hint="cs"/>
          <w:lang w:val="ja-JP"/>
        </w:rPr>
        <w:t>津島地区に</w:t>
      </w:r>
      <w:r w:rsidRPr="00844BB8">
        <w:rPr>
          <w:rFonts w:ascii="Century" w:eastAsia="ＭＳ 明朝" w:hAnsi="Century" w:hint="default"/>
          <w:lang w:val="ja-JP"/>
        </w:rPr>
        <w:t>4</w:t>
      </w:r>
      <w:r w:rsidRPr="00844BB8">
        <w:rPr>
          <w:rFonts w:ascii="Century" w:eastAsia="ＭＳ 明朝" w:hAnsi="Century" w:hint="default"/>
          <w:lang w:val="ja-JP"/>
        </w:rPr>
        <w:t>つの学校を残すのは、地域的視点からみてもバランスに欠きます。生徒の学習権や通学を保証するため、</w:t>
      </w:r>
      <w:r w:rsidR="00113EDE">
        <w:rPr>
          <w:rFonts w:ascii="Century" w:eastAsia="ＭＳ 明朝" w:hAnsi="Century"/>
          <w:lang w:val="ja-JP"/>
        </w:rPr>
        <w:t>統廃合をすすめる</w:t>
      </w:r>
      <w:r w:rsidRPr="00844BB8">
        <w:rPr>
          <w:rFonts w:ascii="Century" w:eastAsia="ＭＳ 明朝" w:hAnsi="Century" w:hint="default"/>
          <w:lang w:val="ja-JP"/>
        </w:rPr>
        <w:t>べきではありません。</w:t>
      </w:r>
    </w:p>
    <w:p w14:paraId="274E361B" w14:textId="77777777" w:rsidR="00320B79" w:rsidRDefault="00320B79" w:rsidP="00320B79">
      <w:pPr>
        <w:pStyle w:val="ad"/>
        <w:spacing w:line="340" w:lineRule="exact"/>
        <w:ind w:leftChars="0" w:left="750"/>
        <w:rPr>
          <w:rFonts w:ascii="Century" w:eastAsia="ＭＳ 明朝" w:hAnsi="Century"/>
          <w:lang w:val="ja-JP"/>
        </w:rPr>
      </w:pPr>
    </w:p>
    <w:p w14:paraId="57A0C190" w14:textId="7E7E70FD" w:rsidR="00844BB8" w:rsidRDefault="00844BB8" w:rsidP="00243FBE">
      <w:pPr>
        <w:pStyle w:val="ad"/>
        <w:numPr>
          <w:ilvl w:val="0"/>
          <w:numId w:val="2"/>
        </w:numPr>
        <w:spacing w:line="340" w:lineRule="exact"/>
        <w:ind w:leftChars="0"/>
        <w:rPr>
          <w:rFonts w:ascii="Century" w:eastAsia="ＭＳ 明朝" w:hAnsi="Century" w:hint="default"/>
          <w:lang w:val="ja-JP"/>
        </w:rPr>
      </w:pPr>
      <w:r w:rsidRPr="00844BB8">
        <w:rPr>
          <w:rFonts w:ascii="Century" w:eastAsia="ＭＳ 明朝" w:hAnsi="Century" w:hint="cs"/>
          <w:lang w:val="ja-JP"/>
        </w:rPr>
        <w:t>生徒の学習権や通学の保証として公立高校の役割をはたすため、学校数を減らすべきではありません。少人数学級の実現により定員割れや生徒数減少に対応するべきです。</w:t>
      </w:r>
    </w:p>
    <w:p w14:paraId="53C1892E" w14:textId="77777777" w:rsidR="00320B79" w:rsidRDefault="00320B79" w:rsidP="00320B79">
      <w:pPr>
        <w:pStyle w:val="ad"/>
        <w:spacing w:line="340" w:lineRule="exact"/>
        <w:ind w:leftChars="0" w:left="750"/>
        <w:rPr>
          <w:rFonts w:ascii="Century" w:eastAsia="ＭＳ 明朝" w:hAnsi="Century"/>
          <w:lang w:val="ja-JP"/>
        </w:rPr>
      </w:pPr>
    </w:p>
    <w:p w14:paraId="6E871D5A" w14:textId="42B87982" w:rsidR="00844BB8" w:rsidRDefault="00844BB8" w:rsidP="00243FBE">
      <w:pPr>
        <w:pStyle w:val="ad"/>
        <w:numPr>
          <w:ilvl w:val="0"/>
          <w:numId w:val="2"/>
        </w:numPr>
        <w:spacing w:line="340" w:lineRule="exact"/>
        <w:ind w:leftChars="0"/>
        <w:rPr>
          <w:rFonts w:ascii="Century" w:eastAsia="ＭＳ 明朝" w:hAnsi="Century" w:hint="default"/>
          <w:lang w:val="ja-JP"/>
        </w:rPr>
      </w:pPr>
      <w:r w:rsidRPr="00844BB8">
        <w:rPr>
          <w:rFonts w:ascii="Century" w:eastAsia="ＭＳ 明朝" w:hAnsi="Century" w:hint="cs"/>
          <w:lang w:val="ja-JP"/>
        </w:rPr>
        <w:t>商業科の</w:t>
      </w:r>
      <w:r w:rsidR="00A93C36">
        <w:rPr>
          <w:rFonts w:ascii="Century" w:eastAsia="ＭＳ 明朝" w:hAnsi="Century"/>
          <w:lang w:val="ja-JP"/>
        </w:rPr>
        <w:t>改編</w:t>
      </w:r>
      <w:r w:rsidRPr="00844BB8">
        <w:rPr>
          <w:rFonts w:ascii="Century" w:eastAsia="ＭＳ 明朝" w:hAnsi="Century" w:hint="cs"/>
          <w:lang w:val="ja-JP"/>
        </w:rPr>
        <w:t>については、学校の序列化につながる</w:t>
      </w:r>
      <w:r w:rsidR="00A93C36">
        <w:rPr>
          <w:rFonts w:ascii="Century" w:eastAsia="ＭＳ 明朝" w:hAnsi="Century"/>
          <w:lang w:val="ja-JP"/>
        </w:rPr>
        <w:t>改編</w:t>
      </w:r>
      <w:r w:rsidRPr="00844BB8">
        <w:rPr>
          <w:rFonts w:ascii="Century" w:eastAsia="ＭＳ 明朝" w:hAnsi="Century" w:hint="cs"/>
          <w:lang w:val="ja-JP"/>
        </w:rPr>
        <w:t>計画であり、問題があると言わざるを得ません。どこの学校でも同じ教育を受けられるようにすることが公教育の役割です。高等学校は専門学校や職業訓練校ではありません。</w:t>
      </w:r>
    </w:p>
    <w:p w14:paraId="3A1A5B3A" w14:textId="77777777" w:rsidR="00320B79" w:rsidRDefault="00320B79" w:rsidP="00320B79">
      <w:pPr>
        <w:pStyle w:val="ad"/>
        <w:spacing w:line="340" w:lineRule="exact"/>
        <w:ind w:leftChars="0" w:left="750"/>
        <w:rPr>
          <w:rFonts w:ascii="Century" w:eastAsia="ＭＳ 明朝" w:hAnsi="Century"/>
          <w:lang w:val="ja-JP"/>
        </w:rPr>
      </w:pPr>
    </w:p>
    <w:p w14:paraId="4860C087" w14:textId="202A823C" w:rsidR="00C10D9A" w:rsidRDefault="00844BB8" w:rsidP="00243FBE">
      <w:pPr>
        <w:pStyle w:val="ad"/>
        <w:numPr>
          <w:ilvl w:val="0"/>
          <w:numId w:val="2"/>
        </w:numPr>
        <w:spacing w:line="340" w:lineRule="exact"/>
        <w:ind w:leftChars="0" w:left="749"/>
        <w:rPr>
          <w:rFonts w:ascii="Century" w:eastAsia="ＭＳ 明朝" w:hAnsi="Century" w:hint="default"/>
          <w:lang w:val="ja-JP"/>
        </w:rPr>
      </w:pPr>
      <w:r w:rsidRPr="00844BB8">
        <w:rPr>
          <w:rFonts w:ascii="Century" w:eastAsia="ＭＳ 明朝" w:hAnsi="Century" w:hint="cs"/>
          <w:lang w:val="ja-JP"/>
        </w:rPr>
        <w:t>工業高校から工科高校への校名変更・学科</w:t>
      </w:r>
      <w:r w:rsidR="00423E28">
        <w:rPr>
          <w:rFonts w:ascii="Century" w:eastAsia="ＭＳ 明朝" w:hAnsi="Century"/>
          <w:lang w:val="ja-JP"/>
        </w:rPr>
        <w:t>改編</w:t>
      </w:r>
      <w:r w:rsidRPr="00844BB8">
        <w:rPr>
          <w:rFonts w:ascii="Century" w:eastAsia="ＭＳ 明朝" w:hAnsi="Century" w:hint="cs"/>
          <w:lang w:val="ja-JP"/>
        </w:rPr>
        <w:t>がありましたが、受験希望生徒の改善には至っていません。これらの反省が今回の学校再編計画には生かされていません。新しい学科や聞こえの良い横文字の学科に改編するよりも、原点に返り、基礎・基本が学べ、中学生にも何が学べるのかが分かりやすい学科の充実を図るべきです。</w:t>
      </w:r>
    </w:p>
    <w:sectPr w:rsidR="00C10D9A" w:rsidSect="00163E25">
      <w:pgSz w:w="11900" w:h="16840" w:code="9"/>
      <w:pgMar w:top="1021" w:right="1021" w:bottom="1021" w:left="1021" w:header="851" w:footer="992" w:gutter="0"/>
      <w:cols w:space="720"/>
      <w:docGrid w:type="lines" w:linePitch="5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4C442" w14:textId="77777777" w:rsidR="00535E60" w:rsidRDefault="00535E60">
      <w:pPr>
        <w:rPr>
          <w:rFonts w:hint="default"/>
        </w:rPr>
      </w:pPr>
      <w:r>
        <w:separator/>
      </w:r>
    </w:p>
  </w:endnote>
  <w:endnote w:type="continuationSeparator" w:id="0">
    <w:p w14:paraId="27EACD92" w14:textId="77777777" w:rsidR="00535E60" w:rsidRDefault="00535E60">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Unicode MS">
    <w:altName w:val="ＭＳ ゴシック"/>
    <w:panose1 w:val="020B0604020202020204"/>
    <w:charset w:val="80"/>
    <w:family w:val="modern"/>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ヒラギノ角ゴ ProN W3">
    <w:altName w:val="Times New Roman"/>
    <w:charset w:val="00"/>
    <w:family w:val="roman"/>
    <w:pitch w:val="default"/>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0FB5E" w14:textId="77777777" w:rsidR="00535E60" w:rsidRDefault="00535E60">
      <w:pPr>
        <w:rPr>
          <w:rFonts w:hint="default"/>
        </w:rPr>
      </w:pPr>
      <w:r>
        <w:separator/>
      </w:r>
    </w:p>
  </w:footnote>
  <w:footnote w:type="continuationSeparator" w:id="0">
    <w:p w14:paraId="29B04987" w14:textId="77777777" w:rsidR="00535E60" w:rsidRDefault="00535E60">
      <w:pPr>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08276F"/>
    <w:multiLevelType w:val="hybridMultilevel"/>
    <w:tmpl w:val="33C8CD9C"/>
    <w:lvl w:ilvl="0" w:tplc="0409000B">
      <w:start w:val="1"/>
      <w:numFmt w:val="bullet"/>
      <w:lvlText w:val=""/>
      <w:lvlJc w:val="left"/>
      <w:pPr>
        <w:ind w:left="750" w:hanging="420"/>
      </w:pPr>
      <w:rPr>
        <w:rFonts w:ascii="Wingdings" w:hAnsi="Wingdings" w:hint="default"/>
      </w:rPr>
    </w:lvl>
    <w:lvl w:ilvl="1" w:tplc="0409000B" w:tentative="1">
      <w:start w:val="1"/>
      <w:numFmt w:val="bullet"/>
      <w:lvlText w:val=""/>
      <w:lvlJc w:val="left"/>
      <w:pPr>
        <w:ind w:left="1170" w:hanging="420"/>
      </w:pPr>
      <w:rPr>
        <w:rFonts w:ascii="Wingdings" w:hAnsi="Wingdings" w:hint="default"/>
      </w:rPr>
    </w:lvl>
    <w:lvl w:ilvl="2" w:tplc="0409000D" w:tentative="1">
      <w:start w:val="1"/>
      <w:numFmt w:val="bullet"/>
      <w:lvlText w:val=""/>
      <w:lvlJc w:val="left"/>
      <w:pPr>
        <w:ind w:left="1590" w:hanging="420"/>
      </w:pPr>
      <w:rPr>
        <w:rFonts w:ascii="Wingdings" w:hAnsi="Wingdings" w:hint="default"/>
      </w:rPr>
    </w:lvl>
    <w:lvl w:ilvl="3" w:tplc="04090001" w:tentative="1">
      <w:start w:val="1"/>
      <w:numFmt w:val="bullet"/>
      <w:lvlText w:val=""/>
      <w:lvlJc w:val="left"/>
      <w:pPr>
        <w:ind w:left="2010" w:hanging="420"/>
      </w:pPr>
      <w:rPr>
        <w:rFonts w:ascii="Wingdings" w:hAnsi="Wingdings" w:hint="default"/>
      </w:rPr>
    </w:lvl>
    <w:lvl w:ilvl="4" w:tplc="0409000B" w:tentative="1">
      <w:start w:val="1"/>
      <w:numFmt w:val="bullet"/>
      <w:lvlText w:val=""/>
      <w:lvlJc w:val="left"/>
      <w:pPr>
        <w:ind w:left="2430" w:hanging="420"/>
      </w:pPr>
      <w:rPr>
        <w:rFonts w:ascii="Wingdings" w:hAnsi="Wingdings" w:hint="default"/>
      </w:rPr>
    </w:lvl>
    <w:lvl w:ilvl="5" w:tplc="0409000D" w:tentative="1">
      <w:start w:val="1"/>
      <w:numFmt w:val="bullet"/>
      <w:lvlText w:val=""/>
      <w:lvlJc w:val="left"/>
      <w:pPr>
        <w:ind w:left="2850" w:hanging="420"/>
      </w:pPr>
      <w:rPr>
        <w:rFonts w:ascii="Wingdings" w:hAnsi="Wingdings" w:hint="default"/>
      </w:rPr>
    </w:lvl>
    <w:lvl w:ilvl="6" w:tplc="04090001" w:tentative="1">
      <w:start w:val="1"/>
      <w:numFmt w:val="bullet"/>
      <w:lvlText w:val=""/>
      <w:lvlJc w:val="left"/>
      <w:pPr>
        <w:ind w:left="3270" w:hanging="420"/>
      </w:pPr>
      <w:rPr>
        <w:rFonts w:ascii="Wingdings" w:hAnsi="Wingdings" w:hint="default"/>
      </w:rPr>
    </w:lvl>
    <w:lvl w:ilvl="7" w:tplc="0409000B" w:tentative="1">
      <w:start w:val="1"/>
      <w:numFmt w:val="bullet"/>
      <w:lvlText w:val=""/>
      <w:lvlJc w:val="left"/>
      <w:pPr>
        <w:ind w:left="3690" w:hanging="420"/>
      </w:pPr>
      <w:rPr>
        <w:rFonts w:ascii="Wingdings" w:hAnsi="Wingdings" w:hint="default"/>
      </w:rPr>
    </w:lvl>
    <w:lvl w:ilvl="8" w:tplc="0409000D" w:tentative="1">
      <w:start w:val="1"/>
      <w:numFmt w:val="bullet"/>
      <w:lvlText w:val=""/>
      <w:lvlJc w:val="left"/>
      <w:pPr>
        <w:ind w:left="4110" w:hanging="420"/>
      </w:pPr>
      <w:rPr>
        <w:rFonts w:ascii="Wingdings" w:hAnsi="Wingdings" w:hint="default"/>
      </w:rPr>
    </w:lvl>
  </w:abstractNum>
  <w:abstractNum w:abstractNumId="1" w15:restartNumberingAfterBreak="0">
    <w:nsid w:val="4E763934"/>
    <w:multiLevelType w:val="hybridMultilevel"/>
    <w:tmpl w:val="59ACA6B6"/>
    <w:lvl w:ilvl="0" w:tplc="CAC44BD4">
      <w:start w:val="3"/>
      <w:numFmt w:val="bullet"/>
      <w:lvlText w:val="＊"/>
      <w:lvlJc w:val="left"/>
      <w:pPr>
        <w:ind w:left="360" w:hanging="360"/>
      </w:pPr>
      <w:rPr>
        <w:rFonts w:ascii="ＭＳ 明朝" w:eastAsia="ＭＳ 明朝" w:hAnsi="ＭＳ 明朝" w:cs="Arial Unicode M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591"/>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78D"/>
    <w:rsid w:val="000025D1"/>
    <w:rsid w:val="00030FB7"/>
    <w:rsid w:val="000431B0"/>
    <w:rsid w:val="00071A1C"/>
    <w:rsid w:val="00084C91"/>
    <w:rsid w:val="000B0736"/>
    <w:rsid w:val="000B5E29"/>
    <w:rsid w:val="000E615A"/>
    <w:rsid w:val="00113EDE"/>
    <w:rsid w:val="00116FD0"/>
    <w:rsid w:val="001470CE"/>
    <w:rsid w:val="00163E25"/>
    <w:rsid w:val="00176DF4"/>
    <w:rsid w:val="001805FF"/>
    <w:rsid w:val="001B4D1F"/>
    <w:rsid w:val="001C0853"/>
    <w:rsid w:val="001C1241"/>
    <w:rsid w:val="00201B77"/>
    <w:rsid w:val="00212AEB"/>
    <w:rsid w:val="002414D5"/>
    <w:rsid w:val="00243FBE"/>
    <w:rsid w:val="0029535D"/>
    <w:rsid w:val="002B0203"/>
    <w:rsid w:val="002D5CF3"/>
    <w:rsid w:val="002D7954"/>
    <w:rsid w:val="002E2191"/>
    <w:rsid w:val="002E3FF8"/>
    <w:rsid w:val="002E4439"/>
    <w:rsid w:val="002F2527"/>
    <w:rsid w:val="002F2EBB"/>
    <w:rsid w:val="00300FA2"/>
    <w:rsid w:val="0030258A"/>
    <w:rsid w:val="0031336A"/>
    <w:rsid w:val="00316AEB"/>
    <w:rsid w:val="00320B79"/>
    <w:rsid w:val="003342A5"/>
    <w:rsid w:val="00367B42"/>
    <w:rsid w:val="00370718"/>
    <w:rsid w:val="003A6C43"/>
    <w:rsid w:val="003C50E4"/>
    <w:rsid w:val="003F06AB"/>
    <w:rsid w:val="00423E28"/>
    <w:rsid w:val="004818BE"/>
    <w:rsid w:val="004A0DA0"/>
    <w:rsid w:val="004A7A13"/>
    <w:rsid w:val="004B3028"/>
    <w:rsid w:val="004D2A05"/>
    <w:rsid w:val="004E16F6"/>
    <w:rsid w:val="00510870"/>
    <w:rsid w:val="00515F1D"/>
    <w:rsid w:val="00516AA3"/>
    <w:rsid w:val="005335B8"/>
    <w:rsid w:val="00535E60"/>
    <w:rsid w:val="00581811"/>
    <w:rsid w:val="00586ED2"/>
    <w:rsid w:val="005D378D"/>
    <w:rsid w:val="005D447F"/>
    <w:rsid w:val="0063573C"/>
    <w:rsid w:val="006371B6"/>
    <w:rsid w:val="006C3402"/>
    <w:rsid w:val="006C3518"/>
    <w:rsid w:val="006C4990"/>
    <w:rsid w:val="006D16BD"/>
    <w:rsid w:val="006D72C3"/>
    <w:rsid w:val="006E18D1"/>
    <w:rsid w:val="006E1A18"/>
    <w:rsid w:val="006E3F06"/>
    <w:rsid w:val="006F55C9"/>
    <w:rsid w:val="00715FB2"/>
    <w:rsid w:val="00731AAE"/>
    <w:rsid w:val="00785299"/>
    <w:rsid w:val="007A775E"/>
    <w:rsid w:val="007B412E"/>
    <w:rsid w:val="007B75DC"/>
    <w:rsid w:val="007C229F"/>
    <w:rsid w:val="007D637C"/>
    <w:rsid w:val="007E46C0"/>
    <w:rsid w:val="007E5AFE"/>
    <w:rsid w:val="00801BF1"/>
    <w:rsid w:val="00820897"/>
    <w:rsid w:val="008336A7"/>
    <w:rsid w:val="00835246"/>
    <w:rsid w:val="00844BB8"/>
    <w:rsid w:val="0089117A"/>
    <w:rsid w:val="008B1217"/>
    <w:rsid w:val="008B65CF"/>
    <w:rsid w:val="009007A0"/>
    <w:rsid w:val="00904B2B"/>
    <w:rsid w:val="00911F49"/>
    <w:rsid w:val="009157E6"/>
    <w:rsid w:val="00936870"/>
    <w:rsid w:val="009A0683"/>
    <w:rsid w:val="009D24A7"/>
    <w:rsid w:val="009D7362"/>
    <w:rsid w:val="009F45EF"/>
    <w:rsid w:val="00A53BBC"/>
    <w:rsid w:val="00A560EF"/>
    <w:rsid w:val="00A93C36"/>
    <w:rsid w:val="00A966FA"/>
    <w:rsid w:val="00AA32B2"/>
    <w:rsid w:val="00AB4E3E"/>
    <w:rsid w:val="00AC3040"/>
    <w:rsid w:val="00AC4737"/>
    <w:rsid w:val="00AE240C"/>
    <w:rsid w:val="00B03587"/>
    <w:rsid w:val="00B07D91"/>
    <w:rsid w:val="00B118ED"/>
    <w:rsid w:val="00B23F2E"/>
    <w:rsid w:val="00BC6AE2"/>
    <w:rsid w:val="00C10D9A"/>
    <w:rsid w:val="00C14CAD"/>
    <w:rsid w:val="00C37B30"/>
    <w:rsid w:val="00C445FA"/>
    <w:rsid w:val="00C73928"/>
    <w:rsid w:val="00C85E00"/>
    <w:rsid w:val="00C87DF2"/>
    <w:rsid w:val="00C948A8"/>
    <w:rsid w:val="00CA11C9"/>
    <w:rsid w:val="00CA32DF"/>
    <w:rsid w:val="00CA4E38"/>
    <w:rsid w:val="00CA5952"/>
    <w:rsid w:val="00CC61F8"/>
    <w:rsid w:val="00CC6FFD"/>
    <w:rsid w:val="00D03966"/>
    <w:rsid w:val="00D14F87"/>
    <w:rsid w:val="00D2232D"/>
    <w:rsid w:val="00D40123"/>
    <w:rsid w:val="00D5378E"/>
    <w:rsid w:val="00D57B67"/>
    <w:rsid w:val="00D760EA"/>
    <w:rsid w:val="00D87023"/>
    <w:rsid w:val="00DD2B9A"/>
    <w:rsid w:val="00DD3BC4"/>
    <w:rsid w:val="00DE7699"/>
    <w:rsid w:val="00E16093"/>
    <w:rsid w:val="00E53718"/>
    <w:rsid w:val="00E57658"/>
    <w:rsid w:val="00E639E5"/>
    <w:rsid w:val="00E67210"/>
    <w:rsid w:val="00E80B3D"/>
    <w:rsid w:val="00E842A3"/>
    <w:rsid w:val="00E91912"/>
    <w:rsid w:val="00EA0FB2"/>
    <w:rsid w:val="00EA2FB2"/>
    <w:rsid w:val="00EB0DBD"/>
    <w:rsid w:val="00EB6BA1"/>
    <w:rsid w:val="00ED0807"/>
    <w:rsid w:val="00EE4D35"/>
    <w:rsid w:val="00F3712A"/>
    <w:rsid w:val="00F74A51"/>
    <w:rsid w:val="00F86BB4"/>
    <w:rsid w:val="00F86C7D"/>
    <w:rsid w:val="00FB0C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BC6ED7F"/>
  <w15:chartTrackingRefBased/>
  <w15:docId w15:val="{FAC5F288-E0C5-449B-A72D-E127DE15F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pPr>
      <w:widowControl w:val="0"/>
      <w:pBdr>
        <w:top w:val="nil"/>
        <w:left w:val="nil"/>
        <w:bottom w:val="nil"/>
        <w:right w:val="nil"/>
        <w:between w:val="nil"/>
        <w:bar w:val="nil"/>
      </w:pBdr>
      <w:jc w:val="both"/>
    </w:pPr>
    <w:rPr>
      <w:rFonts w:ascii="Arial Unicode MS" w:eastAsia="Century" w:hAnsi="Arial Unicode MS" w:cs="Arial Unicode MS" w:hint="eastAsia"/>
      <w:color w:val="000000"/>
      <w:kern w:val="2"/>
      <w:sz w:val="21"/>
      <w:szCs w:val="21"/>
      <w:u w:color="000000"/>
      <w:bdr w:val="n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pPr>
      <w:pBdr>
        <w:top w:val="nil"/>
        <w:left w:val="nil"/>
        <w:bottom w:val="nil"/>
        <w:right w:val="nil"/>
        <w:between w:val="nil"/>
        <w:bar w:val="nil"/>
      </w:pBdr>
    </w:pPr>
    <w:rPr>
      <w:bdr w:val="nil"/>
    </w:rPr>
    <w:tblPr>
      <w:tblInd w:w="0" w:type="dxa"/>
      <w:tblCellMar>
        <w:top w:w="0" w:type="dxa"/>
        <w:left w:w="0" w:type="dxa"/>
        <w:bottom w:w="0" w:type="dxa"/>
        <w:right w:w="0" w:type="dxa"/>
      </w:tblCellMar>
    </w:tblPr>
  </w:style>
  <w:style w:type="paragraph" w:customStyle="1" w:styleId="a4">
    <w:name w:val="ヘッダとフッタ"/>
    <w:pPr>
      <w:pBdr>
        <w:top w:val="nil"/>
        <w:left w:val="nil"/>
        <w:bottom w:val="nil"/>
        <w:right w:val="nil"/>
        <w:between w:val="nil"/>
        <w:bar w:val="nil"/>
      </w:pBdr>
      <w:tabs>
        <w:tab w:val="right" w:pos="9020"/>
      </w:tabs>
    </w:pPr>
    <w:rPr>
      <w:rFonts w:ascii="ヒラギノ角ゴ ProN W3" w:eastAsia="Arial Unicode MS" w:hAnsi="Arial Unicode MS" w:cs="Arial Unicode MS"/>
      <w:color w:val="000000"/>
      <w:sz w:val="24"/>
      <w:szCs w:val="24"/>
      <w:bdr w:val="nil"/>
    </w:rPr>
  </w:style>
  <w:style w:type="paragraph" w:styleId="a5">
    <w:name w:val="Note Heading"/>
    <w:next w:val="a"/>
    <w:pPr>
      <w:widowControl w:val="0"/>
      <w:pBdr>
        <w:top w:val="nil"/>
        <w:left w:val="nil"/>
        <w:bottom w:val="nil"/>
        <w:right w:val="nil"/>
        <w:between w:val="nil"/>
        <w:bar w:val="nil"/>
      </w:pBdr>
      <w:jc w:val="center"/>
    </w:pPr>
    <w:rPr>
      <w:rFonts w:ascii="Arial Unicode MS" w:eastAsia="Century" w:hAnsi="Arial Unicode MS" w:cs="Arial Unicode MS" w:hint="eastAsia"/>
      <w:color w:val="000000"/>
      <w:kern w:val="2"/>
      <w:sz w:val="22"/>
      <w:szCs w:val="22"/>
      <w:u w:color="000000"/>
      <w:bdr w:val="nil"/>
    </w:rPr>
  </w:style>
  <w:style w:type="paragraph" w:styleId="a6">
    <w:name w:val="Closing"/>
    <w:pPr>
      <w:widowControl w:val="0"/>
      <w:pBdr>
        <w:top w:val="nil"/>
        <w:left w:val="nil"/>
        <w:bottom w:val="nil"/>
        <w:right w:val="nil"/>
        <w:between w:val="nil"/>
        <w:bar w:val="nil"/>
      </w:pBdr>
      <w:jc w:val="right"/>
    </w:pPr>
    <w:rPr>
      <w:rFonts w:ascii="Arial Unicode MS" w:hAnsi="Arial Unicode MS" w:cs="Arial Unicode MS" w:hint="eastAsia"/>
      <w:color w:val="000000"/>
      <w:kern w:val="2"/>
      <w:sz w:val="21"/>
      <w:szCs w:val="21"/>
      <w:u w:color="000000"/>
      <w:bdr w:val="nil"/>
    </w:rPr>
  </w:style>
  <w:style w:type="character" w:styleId="a7">
    <w:name w:val="FollowedHyperlink"/>
    <w:uiPriority w:val="99"/>
    <w:semiHidden/>
    <w:unhideWhenUsed/>
    <w:rsid w:val="00EE4D35"/>
    <w:rPr>
      <w:color w:val="FF00FF"/>
      <w:u w:val="single"/>
    </w:rPr>
  </w:style>
  <w:style w:type="paragraph" w:styleId="a8">
    <w:name w:val="header"/>
    <w:basedOn w:val="a"/>
    <w:link w:val="a9"/>
    <w:uiPriority w:val="99"/>
    <w:unhideWhenUsed/>
    <w:rsid w:val="0029535D"/>
    <w:pPr>
      <w:tabs>
        <w:tab w:val="center" w:pos="4252"/>
        <w:tab w:val="right" w:pos="8504"/>
      </w:tabs>
      <w:snapToGrid w:val="0"/>
    </w:pPr>
  </w:style>
  <w:style w:type="character" w:customStyle="1" w:styleId="a9">
    <w:name w:val="ヘッダー (文字)"/>
    <w:link w:val="a8"/>
    <w:uiPriority w:val="99"/>
    <w:rsid w:val="0029535D"/>
    <w:rPr>
      <w:rFonts w:ascii="Arial Unicode MS" w:eastAsia="Century" w:hAnsi="Arial Unicode MS" w:cs="Arial Unicode MS"/>
      <w:color w:val="000000"/>
      <w:kern w:val="2"/>
      <w:sz w:val="21"/>
      <w:szCs w:val="21"/>
      <w:u w:color="000000"/>
      <w:bdr w:val="nil"/>
    </w:rPr>
  </w:style>
  <w:style w:type="paragraph" w:styleId="aa">
    <w:name w:val="footer"/>
    <w:basedOn w:val="a"/>
    <w:link w:val="ab"/>
    <w:uiPriority w:val="99"/>
    <w:unhideWhenUsed/>
    <w:rsid w:val="0029535D"/>
    <w:pPr>
      <w:tabs>
        <w:tab w:val="center" w:pos="4252"/>
        <w:tab w:val="right" w:pos="8504"/>
      </w:tabs>
      <w:snapToGrid w:val="0"/>
    </w:pPr>
  </w:style>
  <w:style w:type="character" w:customStyle="1" w:styleId="ab">
    <w:name w:val="フッター (文字)"/>
    <w:link w:val="aa"/>
    <w:uiPriority w:val="99"/>
    <w:rsid w:val="0029535D"/>
    <w:rPr>
      <w:rFonts w:ascii="Arial Unicode MS" w:eastAsia="Century" w:hAnsi="Arial Unicode MS" w:cs="Arial Unicode MS"/>
      <w:color w:val="000000"/>
      <w:kern w:val="2"/>
      <w:sz w:val="21"/>
      <w:szCs w:val="21"/>
      <w:u w:color="000000"/>
      <w:bdr w:val="nil"/>
    </w:rPr>
  </w:style>
  <w:style w:type="character" w:styleId="ac">
    <w:name w:val="Unresolved Mention"/>
    <w:basedOn w:val="a0"/>
    <w:uiPriority w:val="99"/>
    <w:semiHidden/>
    <w:unhideWhenUsed/>
    <w:rsid w:val="00510870"/>
    <w:rPr>
      <w:color w:val="605E5C"/>
      <w:shd w:val="clear" w:color="auto" w:fill="E1DFDD"/>
    </w:rPr>
  </w:style>
  <w:style w:type="paragraph" w:styleId="ad">
    <w:name w:val="List Paragraph"/>
    <w:basedOn w:val="a"/>
    <w:uiPriority w:val="34"/>
    <w:qFormat/>
    <w:rsid w:val="00C948A8"/>
    <w:pPr>
      <w:ind w:leftChars="400" w:left="840"/>
    </w:pPr>
  </w:style>
  <w:style w:type="paragraph" w:styleId="ae">
    <w:name w:val="Date"/>
    <w:basedOn w:val="a"/>
    <w:next w:val="a"/>
    <w:link w:val="af"/>
    <w:uiPriority w:val="99"/>
    <w:semiHidden/>
    <w:unhideWhenUsed/>
    <w:rsid w:val="00785299"/>
  </w:style>
  <w:style w:type="character" w:customStyle="1" w:styleId="af">
    <w:name w:val="日付 (文字)"/>
    <w:basedOn w:val="a0"/>
    <w:link w:val="ae"/>
    <w:uiPriority w:val="99"/>
    <w:semiHidden/>
    <w:rsid w:val="00785299"/>
    <w:rPr>
      <w:rFonts w:ascii="Arial Unicode MS" w:eastAsia="Century" w:hAnsi="Arial Unicode MS" w:cs="Arial Unicode MS"/>
      <w:color w:val="000000"/>
      <w:kern w:val="2"/>
      <w:sz w:val="21"/>
      <w:szCs w:val="21"/>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C4E65E-F7A7-45EB-9190-E3C5E782B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121</Words>
  <Characters>690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h_nakamura</dc:creator>
  <cp:keywords/>
  <cp:lastModifiedBy>愛高 教</cp:lastModifiedBy>
  <cp:revision>2</cp:revision>
  <cp:lastPrinted>2021-11-22T09:08:00Z</cp:lastPrinted>
  <dcterms:created xsi:type="dcterms:W3CDTF">2021-11-22T09:15:00Z</dcterms:created>
  <dcterms:modified xsi:type="dcterms:W3CDTF">2021-11-22T09:15:00Z</dcterms:modified>
</cp:coreProperties>
</file>